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3520CC83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4C080B" w:rsidRPr="003D4FD3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D4FD3" w:rsidRPr="003D4FD3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3D4FD3" w:rsidRPr="003D4FD3">
        <w:rPr>
          <w:rFonts w:ascii="Times New Roman" w:hAnsi="Times New Roman"/>
          <w:sz w:val="24"/>
          <w:szCs w:val="24"/>
          <w:lang w:eastAsia="ru-RU"/>
        </w:rPr>
        <w:t>ран</w:t>
      </w:r>
      <w:r w:rsidR="002D51A7">
        <w:rPr>
          <w:rFonts w:ascii="Times New Roman" w:hAnsi="Times New Roman"/>
          <w:sz w:val="24"/>
          <w:szCs w:val="24"/>
          <w:lang w:eastAsia="ru-RU"/>
        </w:rPr>
        <w:t>-балок грузоподъёмностью 5,0 т</w:t>
      </w:r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73C0-2EE8-4638-959A-1E0FBE08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13</cp:revision>
  <cp:lastPrinted>2018-01-11T10:57:00Z</cp:lastPrinted>
  <dcterms:created xsi:type="dcterms:W3CDTF">2021-06-30T06:47:00Z</dcterms:created>
  <dcterms:modified xsi:type="dcterms:W3CDTF">2024-08-06T05:00:00Z</dcterms:modified>
</cp:coreProperties>
</file>